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079" w:rsidRDefault="00024079" w:rsidP="00024079">
      <w:pPr>
        <w:spacing w:after="0" w:line="240" w:lineRule="auto"/>
        <w:ind w:firstLine="709"/>
        <w:jc w:val="center"/>
        <w:rPr>
          <w:rFonts w:ascii="Times New Roman" w:hAnsi="Times New Roman" w:cs="Times New Roman"/>
          <w:sz w:val="28"/>
          <w:szCs w:val="28"/>
          <w:lang w:val="en-US"/>
        </w:rPr>
      </w:pPr>
      <w:r w:rsidRPr="00024079">
        <w:rPr>
          <w:rFonts w:ascii="Times New Roman" w:hAnsi="Times New Roman" w:cs="Times New Roman"/>
          <w:sz w:val="28"/>
          <w:szCs w:val="28"/>
        </w:rPr>
        <w:t>Лекция 4 УСТРОЙСТВО САДОВО-ПАРКОВЫХ СООРУЖЕНИЙ И ОБОРУДОВАНИЯ НА ОБЪЕКТАХ ЛАНДШАФТНОЙ АРХИТЕКТУРЫ</w:t>
      </w:r>
    </w:p>
    <w:p w:rsidR="00024079" w:rsidRDefault="00024079" w:rsidP="00024079">
      <w:pPr>
        <w:spacing w:after="0" w:line="240" w:lineRule="auto"/>
        <w:ind w:firstLine="709"/>
        <w:jc w:val="both"/>
        <w:rPr>
          <w:rFonts w:ascii="Times New Roman" w:hAnsi="Times New Roman" w:cs="Times New Roman"/>
          <w:sz w:val="28"/>
          <w:szCs w:val="28"/>
          <w:lang w:val="en-US"/>
        </w:rPr>
      </w:pPr>
    </w:p>
    <w:p w:rsidR="00024079" w:rsidRPr="00024079" w:rsidRDefault="00024079" w:rsidP="00024079">
      <w:pPr>
        <w:spacing w:after="0" w:line="240" w:lineRule="auto"/>
        <w:ind w:firstLine="709"/>
        <w:jc w:val="both"/>
        <w:rPr>
          <w:rFonts w:ascii="Times New Roman" w:hAnsi="Times New Roman" w:cs="Times New Roman"/>
          <w:sz w:val="28"/>
          <w:szCs w:val="28"/>
        </w:rPr>
      </w:pPr>
      <w:r w:rsidRPr="00024079">
        <w:rPr>
          <w:rFonts w:ascii="Times New Roman" w:hAnsi="Times New Roman" w:cs="Times New Roman"/>
          <w:sz w:val="28"/>
          <w:szCs w:val="28"/>
        </w:rPr>
        <w:t xml:space="preserve">Трельяжи - садово-парковая опора, выполненная из дерева или металла в виде решетки, по которой поднимаются вьющиеся растения. Решетка может быть свободно стоящей или </w:t>
      </w:r>
      <w:proofErr w:type="spellStart"/>
      <w:r w:rsidRPr="00024079">
        <w:rPr>
          <w:rFonts w:ascii="Times New Roman" w:hAnsi="Times New Roman" w:cs="Times New Roman"/>
          <w:sz w:val="28"/>
          <w:szCs w:val="28"/>
        </w:rPr>
        <w:t>пристенной</w:t>
      </w:r>
      <w:proofErr w:type="spellEnd"/>
      <w:r w:rsidRPr="00024079">
        <w:rPr>
          <w:rFonts w:ascii="Times New Roman" w:hAnsi="Times New Roman" w:cs="Times New Roman"/>
          <w:sz w:val="28"/>
          <w:szCs w:val="28"/>
        </w:rPr>
        <w:t xml:space="preserve">. Трельяж служит для создания тихих уголков отдыха, ограждения хозяйственных площадок и узлов технических служб, прикрытия маловыразительных парковых участков. Трельяжные щиты бывают разнообразных форм - арочные, Г-образные, прямоугольные, веерные - и могут успешно использоваться не только в садах и парках, но и на улицах, площадях, в местах отдыха. </w:t>
      </w:r>
      <w:proofErr w:type="spellStart"/>
      <w:r w:rsidRPr="00024079">
        <w:rPr>
          <w:rFonts w:ascii="Times New Roman" w:hAnsi="Times New Roman" w:cs="Times New Roman"/>
          <w:sz w:val="28"/>
          <w:szCs w:val="28"/>
        </w:rPr>
        <w:t>Пергола</w:t>
      </w:r>
      <w:proofErr w:type="spellEnd"/>
      <w:r w:rsidRPr="00024079">
        <w:rPr>
          <w:rFonts w:ascii="Times New Roman" w:hAnsi="Times New Roman" w:cs="Times New Roman"/>
          <w:sz w:val="28"/>
          <w:szCs w:val="28"/>
        </w:rPr>
        <w:t xml:space="preserve"> - это специальная опора в виде легкого арочного, </w:t>
      </w:r>
      <w:proofErr w:type="spellStart"/>
      <w:r w:rsidRPr="00024079">
        <w:rPr>
          <w:rFonts w:ascii="Times New Roman" w:hAnsi="Times New Roman" w:cs="Times New Roman"/>
          <w:sz w:val="28"/>
          <w:szCs w:val="28"/>
        </w:rPr>
        <w:t>полуарочного</w:t>
      </w:r>
      <w:proofErr w:type="spellEnd"/>
      <w:r w:rsidRPr="00024079">
        <w:rPr>
          <w:rFonts w:ascii="Times New Roman" w:hAnsi="Times New Roman" w:cs="Times New Roman"/>
          <w:sz w:val="28"/>
          <w:szCs w:val="28"/>
        </w:rPr>
        <w:t xml:space="preserve">, галерейного или навесного перекрытия дорожек или части площадок, под которым размещаются места отдыха. Представляет собой ажурную конструкцию из ряда поставленных друг за другом арок, рам или парных столбов, перевязанных сверху деревянной обрешеткой. В плане </w:t>
      </w:r>
      <w:proofErr w:type="spellStart"/>
      <w:r w:rsidRPr="00024079">
        <w:rPr>
          <w:rFonts w:ascii="Times New Roman" w:hAnsi="Times New Roman" w:cs="Times New Roman"/>
          <w:sz w:val="28"/>
          <w:szCs w:val="28"/>
        </w:rPr>
        <w:t>перголы</w:t>
      </w:r>
      <w:proofErr w:type="spellEnd"/>
      <w:r w:rsidRPr="00024079">
        <w:rPr>
          <w:rFonts w:ascii="Times New Roman" w:hAnsi="Times New Roman" w:cs="Times New Roman"/>
          <w:sz w:val="28"/>
          <w:szCs w:val="28"/>
        </w:rPr>
        <w:t xml:space="preserve"> могут быть круглыми, как беседки, криволинейными, ломаной, извилистой и плавной форм и т. п. Наиболее распространенные конструкции </w:t>
      </w:r>
      <w:proofErr w:type="spellStart"/>
      <w:r w:rsidRPr="00024079">
        <w:rPr>
          <w:rFonts w:ascii="Times New Roman" w:hAnsi="Times New Roman" w:cs="Times New Roman"/>
          <w:sz w:val="28"/>
          <w:szCs w:val="28"/>
        </w:rPr>
        <w:t>пергол</w:t>
      </w:r>
      <w:proofErr w:type="spellEnd"/>
      <w:r w:rsidRPr="00024079">
        <w:rPr>
          <w:rFonts w:ascii="Times New Roman" w:hAnsi="Times New Roman" w:cs="Times New Roman"/>
          <w:sz w:val="28"/>
          <w:szCs w:val="28"/>
        </w:rPr>
        <w:t xml:space="preserve">: деревянные - со столбами-опорами и обрешеткой; смешанные - с металлическим или трубчатым каркасом стен-опор и верхней деревянной обрешеткой. В отличие от плоского трельяжа </w:t>
      </w:r>
      <w:proofErr w:type="spellStart"/>
      <w:r w:rsidRPr="00024079">
        <w:rPr>
          <w:rFonts w:ascii="Times New Roman" w:hAnsi="Times New Roman" w:cs="Times New Roman"/>
          <w:sz w:val="28"/>
          <w:szCs w:val="28"/>
        </w:rPr>
        <w:t>перголы</w:t>
      </w:r>
      <w:proofErr w:type="spellEnd"/>
      <w:r w:rsidRPr="00024079">
        <w:rPr>
          <w:rFonts w:ascii="Times New Roman" w:hAnsi="Times New Roman" w:cs="Times New Roman"/>
          <w:sz w:val="28"/>
          <w:szCs w:val="28"/>
        </w:rPr>
        <w:t xml:space="preserve"> являются объемно-пространственными сооружениями, самостоятельно участвующими в организации ландшафта. Ассортимент растений для трельяжей и </w:t>
      </w:r>
      <w:proofErr w:type="spellStart"/>
      <w:r w:rsidRPr="00024079">
        <w:rPr>
          <w:rFonts w:ascii="Times New Roman" w:hAnsi="Times New Roman" w:cs="Times New Roman"/>
          <w:sz w:val="28"/>
          <w:szCs w:val="28"/>
        </w:rPr>
        <w:t>пергол</w:t>
      </w:r>
      <w:proofErr w:type="spellEnd"/>
      <w:r w:rsidRPr="00024079">
        <w:rPr>
          <w:rFonts w:ascii="Times New Roman" w:hAnsi="Times New Roman" w:cs="Times New Roman"/>
          <w:sz w:val="28"/>
          <w:szCs w:val="28"/>
        </w:rPr>
        <w:t xml:space="preserve">: виноград, хмель, бобы, клематис, </w:t>
      </w:r>
      <w:proofErr w:type="spellStart"/>
      <w:r w:rsidRPr="00024079">
        <w:rPr>
          <w:rFonts w:ascii="Times New Roman" w:hAnsi="Times New Roman" w:cs="Times New Roman"/>
          <w:sz w:val="28"/>
          <w:szCs w:val="28"/>
        </w:rPr>
        <w:t>плетистые</w:t>
      </w:r>
      <w:proofErr w:type="spellEnd"/>
      <w:r w:rsidRPr="00024079">
        <w:rPr>
          <w:rFonts w:ascii="Times New Roman" w:hAnsi="Times New Roman" w:cs="Times New Roman"/>
          <w:sz w:val="28"/>
          <w:szCs w:val="28"/>
        </w:rPr>
        <w:t xml:space="preserve"> розы и т. д. Беседки - легкие парковые сооружения для тихого отдыха посетителей. Встречаются разные формы беседок. Наиболее распространенная форма в виде круга с четырьмя или шестью колоннами и куполообразным завершением. Место для беседок следует выбирать с красивым видовым обзором пейзажа, на крутых берегах рек, озер, прудов - на высоких уступах у водопадов или тихих, тенистых укромных парковых уголках. Навесы - это сооружения для кратковременного отдыха посетителей </w:t>
      </w:r>
      <w:proofErr w:type="spellStart"/>
      <w:r w:rsidRPr="00024079">
        <w:rPr>
          <w:rFonts w:ascii="Times New Roman" w:hAnsi="Times New Roman" w:cs="Times New Roman"/>
          <w:sz w:val="28"/>
          <w:szCs w:val="28"/>
        </w:rPr>
        <w:t>садовопаркового</w:t>
      </w:r>
      <w:proofErr w:type="spellEnd"/>
      <w:r w:rsidRPr="00024079">
        <w:rPr>
          <w:rFonts w:ascii="Times New Roman" w:hAnsi="Times New Roman" w:cs="Times New Roman"/>
          <w:sz w:val="28"/>
          <w:szCs w:val="28"/>
        </w:rPr>
        <w:t xml:space="preserve"> объекта и укрытия от солнца и дождя. Они размещаются в местах скопления посетителей или у прогулочных дорожек. К ним относятся легкие навесы: зонты, железобетонные грибки, павильонные навесы. Все они должны быть оборудованы удобными скамьями, урнами и щитами с визуальной информацией. Материал исполнения и цветовое решение, внешняя форма навесов увязываются с окружающей средой. Парковые малые павильоны круглогодичного или летнего типа предназначаются для обслуживания посетителей. К ним относятся летние кафе и буфеты, </w:t>
      </w:r>
      <w:proofErr w:type="spellStart"/>
      <w:r w:rsidRPr="00024079">
        <w:rPr>
          <w:rFonts w:ascii="Times New Roman" w:hAnsi="Times New Roman" w:cs="Times New Roman"/>
          <w:sz w:val="28"/>
          <w:szCs w:val="28"/>
        </w:rPr>
        <w:t>павильонычитальни</w:t>
      </w:r>
      <w:proofErr w:type="spellEnd"/>
      <w:r w:rsidRPr="00024079">
        <w:rPr>
          <w:rFonts w:ascii="Times New Roman" w:hAnsi="Times New Roman" w:cs="Times New Roman"/>
          <w:sz w:val="28"/>
          <w:szCs w:val="28"/>
        </w:rPr>
        <w:t xml:space="preserve">, павильоны для игр, и т. п. Строят их в тихих зонах отдыха, оборудуют легкой переносной мебелью. Киоски служат для оказания посетителям торговых и бытовых услуг. У киосков должна быть оборудована хозяйственная площадка, задекорированная трельяжами, для 23 складирования тары. В оформлении киосков следует уделять большое внимание их цвету, освещению и рекламным надписям. Автоматы - это сооружения, выполняющие функции самостоятельных торговых точек. Для </w:t>
      </w:r>
      <w:r w:rsidRPr="00024079">
        <w:rPr>
          <w:rFonts w:ascii="Times New Roman" w:hAnsi="Times New Roman" w:cs="Times New Roman"/>
          <w:sz w:val="28"/>
          <w:szCs w:val="28"/>
        </w:rPr>
        <w:lastRenderedPageBreak/>
        <w:t xml:space="preserve">экономии прокладки инженерных коммуникаций (вода, электричество, телефон, канализация) несколько автоматов группируют в одном месте. Поэтому еще на стадии проектирования объекта необходимо решать места установки автоматов и киосков с учетом всех требований к ним. Цветочные модули - это специальные устройства, которые предназначены для высаживания обильно цветущих и ярких по окраске цветочных растений. Они могут быть различной формы: узкие, длинные, низкие и высокие, квадратные, круглые, шестигранные и других геометрических форм. </w:t>
      </w:r>
      <w:proofErr w:type="gramStart"/>
      <w:r w:rsidRPr="00024079">
        <w:rPr>
          <w:rFonts w:ascii="Times New Roman" w:hAnsi="Times New Roman" w:cs="Times New Roman"/>
          <w:sz w:val="28"/>
          <w:szCs w:val="28"/>
        </w:rPr>
        <w:t>Материал для их изготовления: дерево, керамика, белый бетон, каменные блоки, кирпич, природный камень в виде плиток с гладкой или «рваной» поверхностью, а также пластмасса и т. д. В настоящее время больше всего распространены цветочные модули из цемента с гладкой или рельефной поверхностью внешних стенок белого или нескольких цветов: при добавлении в цемент гранитной или мраморной крошки, гальки.</w:t>
      </w:r>
      <w:proofErr w:type="gramEnd"/>
      <w:r w:rsidRPr="00024079">
        <w:rPr>
          <w:rFonts w:ascii="Times New Roman" w:hAnsi="Times New Roman" w:cs="Times New Roman"/>
          <w:sz w:val="28"/>
          <w:szCs w:val="28"/>
        </w:rPr>
        <w:t xml:space="preserve"> Модули делают переносными. Цветочные модули можно ставить на любую твердую поверхность, создавая любые по размеру и ассортименту растений модульные садики разной конфигурации и убирая их по мере надобности. Зеленые вазы - это специальные садово-парковые устройства из </w:t>
      </w:r>
      <w:proofErr w:type="spellStart"/>
      <w:r w:rsidRPr="00024079">
        <w:rPr>
          <w:rFonts w:ascii="Times New Roman" w:hAnsi="Times New Roman" w:cs="Times New Roman"/>
          <w:sz w:val="28"/>
          <w:szCs w:val="28"/>
        </w:rPr>
        <w:t>ковровочеренковых</w:t>
      </w:r>
      <w:proofErr w:type="spellEnd"/>
      <w:r w:rsidRPr="00024079">
        <w:rPr>
          <w:rFonts w:ascii="Times New Roman" w:hAnsi="Times New Roman" w:cs="Times New Roman"/>
          <w:sz w:val="28"/>
          <w:szCs w:val="28"/>
        </w:rPr>
        <w:t xml:space="preserve"> растений. Являются примером создания необычного зеленого сооружения при регулярной планировке партеров и применимы при реставрации исторических парков и садов. Изготавливаются из деревянного или металлического каркаса, который удерживает грунт и растительную землю, и предохраняемую от размыва водой мелкой металлической сеткой. В каждое ячеистое отверстие сетки высаживают кустик коврово-черенкового растения «методом мозаики». На одну вазу иногда расходуют 1- 1,5 тыс. растений, которые подбирают по размеру, окраске, виду для создания, задуманного рисунка. Зеленые вазы требуют постоянного и кропотливого труда при эксплуатации необычной живой стенки. В каждом крупном садово-парковом объекте отводится значительное место монументальной и декоративной скульптуре, малым архитектурным декоративным формам. Они участвуют в формировании общего содержания объекта, в формировании и дополнении ландшафта. Монументальная скульптура (памятники; бюсты Героев) является особым видом оформления садов и парков и органически участвует в ансамбле. Этим сооружениям отводят парадное место объекта. Оно должно быть оформлено красивоцветущими кустарниками и цветниками. В зависимости от размера скульптуры и ее частей должны решаться подходы к ней и площади вокруг. Для правильного восприятия скульптуры (в пределах угла зрения 25-27°) перед ней должно быть свободное пространство по длине, равное двойной высоте скульптуры. При установке монумента особо учитывают его положение по отношению к дневному освещению. Неправильное освещение искажает восприятие пластического замысла. Декоративная парковая скульптура, не являясь монументальной, не подчиняя себе окружающую среду, входит в нее как полноправный элемент, дополняющий отдельные стороны пейзажа. Лучшему восприятию парковой скульптуры может служить фон зеленых газонов, </w:t>
      </w:r>
      <w:r w:rsidRPr="00024079">
        <w:rPr>
          <w:rFonts w:ascii="Times New Roman" w:hAnsi="Times New Roman" w:cs="Times New Roman"/>
          <w:sz w:val="28"/>
          <w:szCs w:val="28"/>
        </w:rPr>
        <w:lastRenderedPageBreak/>
        <w:t>деревьев и кустарников, пышный ковер цветущих растений. Устраивается на газонах или подпорных стенка</w:t>
      </w:r>
      <w:r>
        <w:rPr>
          <w:rFonts w:ascii="Times New Roman" w:hAnsi="Times New Roman" w:cs="Times New Roman"/>
          <w:sz w:val="28"/>
          <w:szCs w:val="28"/>
        </w:rPr>
        <w:t xml:space="preserve">х и в естественных условиях. </w:t>
      </w:r>
    </w:p>
    <w:p w:rsidR="00024079" w:rsidRDefault="00024079" w:rsidP="00024079">
      <w:pPr>
        <w:spacing w:after="0" w:line="240" w:lineRule="auto"/>
        <w:ind w:firstLine="709"/>
        <w:jc w:val="both"/>
        <w:rPr>
          <w:rFonts w:ascii="Times New Roman" w:hAnsi="Times New Roman" w:cs="Times New Roman"/>
          <w:sz w:val="28"/>
          <w:szCs w:val="28"/>
          <w:lang w:val="en-US"/>
        </w:rPr>
      </w:pPr>
      <w:r w:rsidRPr="00024079">
        <w:rPr>
          <w:rFonts w:ascii="Times New Roman" w:hAnsi="Times New Roman" w:cs="Times New Roman"/>
          <w:sz w:val="28"/>
          <w:szCs w:val="28"/>
        </w:rPr>
        <w:t xml:space="preserve">Декоративная керамика - специальный вид садово-паркового оформления. Скульптурные керамические композиции, вазы, чаши, кувшины, горшки с их </w:t>
      </w:r>
      <w:proofErr w:type="spellStart"/>
      <w:r w:rsidRPr="00024079">
        <w:rPr>
          <w:rFonts w:ascii="Times New Roman" w:hAnsi="Times New Roman" w:cs="Times New Roman"/>
          <w:sz w:val="28"/>
          <w:szCs w:val="28"/>
        </w:rPr>
        <w:t>красноохристым</w:t>
      </w:r>
      <w:proofErr w:type="spellEnd"/>
      <w:r w:rsidRPr="00024079">
        <w:rPr>
          <w:rFonts w:ascii="Times New Roman" w:hAnsi="Times New Roman" w:cs="Times New Roman"/>
          <w:sz w:val="28"/>
          <w:szCs w:val="28"/>
        </w:rPr>
        <w:t xml:space="preserve"> цветом великолепно смотрятся на зеленом фоне растительности, на невысоких каменных подпорных и декоративных стенках, возле цветников, на плиточных площадках и возле небольших бассейнов. Декоративные камни - природные камни твердых пород предназначены для усиления выразительности ландшафта своим естественным видом. Их размещают группами и одиночно на изгибах дорог, у водоемов, на открытых газонных полянах и откосах, у лестниц и парковых мостиков и т. п. Им придают естественный вид, слегка утапливая в грунт, давая возможность прорастать в промежутках между ними кустарнику и луговой цветущей траве. Камни должны быть крупными высотой от 1 м и более, красивые по сколу и одно и того же вида. </w:t>
      </w:r>
    </w:p>
    <w:p w:rsidR="00024079" w:rsidRDefault="00024079" w:rsidP="00024079">
      <w:pPr>
        <w:spacing w:after="0" w:line="240" w:lineRule="auto"/>
        <w:ind w:firstLine="709"/>
        <w:jc w:val="both"/>
        <w:rPr>
          <w:rFonts w:ascii="Times New Roman" w:hAnsi="Times New Roman" w:cs="Times New Roman"/>
          <w:sz w:val="28"/>
          <w:szCs w:val="28"/>
          <w:lang w:val="en-US"/>
        </w:rPr>
      </w:pPr>
      <w:r w:rsidRPr="00024079">
        <w:rPr>
          <w:rFonts w:ascii="Times New Roman" w:hAnsi="Times New Roman" w:cs="Times New Roman"/>
          <w:sz w:val="28"/>
          <w:szCs w:val="28"/>
        </w:rPr>
        <w:t>Спортивные сооружения – специально построенные или приспособленные и соответственно оборудованные сооружения для проведения соревнований по различным видам спорта, занятий физкультурой, для активного отдыха. По условиям занятий спорт</w:t>
      </w:r>
      <w:proofErr w:type="gramStart"/>
      <w:r w:rsidRPr="00024079">
        <w:rPr>
          <w:rFonts w:ascii="Times New Roman" w:hAnsi="Times New Roman" w:cs="Times New Roman"/>
          <w:sz w:val="28"/>
          <w:szCs w:val="28"/>
        </w:rPr>
        <w:t>.</w:t>
      </w:r>
      <w:proofErr w:type="gramEnd"/>
      <w:r w:rsidRPr="00024079">
        <w:rPr>
          <w:rFonts w:ascii="Times New Roman" w:hAnsi="Times New Roman" w:cs="Times New Roman"/>
          <w:sz w:val="28"/>
          <w:szCs w:val="28"/>
        </w:rPr>
        <w:t xml:space="preserve"> </w:t>
      </w:r>
      <w:proofErr w:type="gramStart"/>
      <w:r w:rsidRPr="00024079">
        <w:rPr>
          <w:rFonts w:ascii="Times New Roman" w:hAnsi="Times New Roman" w:cs="Times New Roman"/>
          <w:sz w:val="28"/>
          <w:szCs w:val="28"/>
        </w:rPr>
        <w:t>с</w:t>
      </w:r>
      <w:proofErr w:type="gramEnd"/>
      <w:r w:rsidRPr="00024079">
        <w:rPr>
          <w:rFonts w:ascii="Times New Roman" w:hAnsi="Times New Roman" w:cs="Times New Roman"/>
          <w:sz w:val="28"/>
          <w:szCs w:val="28"/>
        </w:rPr>
        <w:t xml:space="preserve">ооружения </w:t>
      </w:r>
      <w:proofErr w:type="spellStart"/>
      <w:r w:rsidRPr="00024079">
        <w:rPr>
          <w:rFonts w:ascii="Times New Roman" w:hAnsi="Times New Roman" w:cs="Times New Roman"/>
          <w:sz w:val="28"/>
          <w:szCs w:val="28"/>
        </w:rPr>
        <w:t>м.б</w:t>
      </w:r>
      <w:proofErr w:type="spellEnd"/>
      <w:r w:rsidRPr="00024079">
        <w:rPr>
          <w:rFonts w:ascii="Times New Roman" w:hAnsi="Times New Roman" w:cs="Times New Roman"/>
          <w:sz w:val="28"/>
          <w:szCs w:val="28"/>
        </w:rPr>
        <w:t xml:space="preserve">. открытые, крытые, трансформирующиеся. По составу: </w:t>
      </w:r>
      <w:proofErr w:type="gramStart"/>
      <w:r w:rsidRPr="00024079">
        <w:rPr>
          <w:rFonts w:ascii="Times New Roman" w:hAnsi="Times New Roman" w:cs="Times New Roman"/>
          <w:sz w:val="28"/>
          <w:szCs w:val="28"/>
        </w:rPr>
        <w:t>отдельные</w:t>
      </w:r>
      <w:proofErr w:type="gramEnd"/>
      <w:r w:rsidRPr="00024079">
        <w:rPr>
          <w:rFonts w:ascii="Times New Roman" w:hAnsi="Times New Roman" w:cs="Times New Roman"/>
          <w:sz w:val="28"/>
          <w:szCs w:val="28"/>
        </w:rPr>
        <w:t xml:space="preserve">, комплексные. По назначению: общего пользования, ограниченного пользования, </w:t>
      </w:r>
      <w:proofErr w:type="spellStart"/>
      <w:r w:rsidRPr="00024079">
        <w:rPr>
          <w:rFonts w:ascii="Times New Roman" w:hAnsi="Times New Roman" w:cs="Times New Roman"/>
          <w:sz w:val="28"/>
          <w:szCs w:val="28"/>
        </w:rPr>
        <w:t>спортивнозрелищные</w:t>
      </w:r>
      <w:proofErr w:type="spellEnd"/>
      <w:r w:rsidRPr="00024079">
        <w:rPr>
          <w:rFonts w:ascii="Times New Roman" w:hAnsi="Times New Roman" w:cs="Times New Roman"/>
          <w:sz w:val="28"/>
          <w:szCs w:val="28"/>
        </w:rPr>
        <w:t xml:space="preserve">. Крупные спортивные сооружения включают: 1. основные сооружения, 2. вспомогательные сооружения, 3. сооружения для зрителей, 4. технические помещения. Спортивные сооружения </w:t>
      </w:r>
      <w:proofErr w:type="spellStart"/>
      <w:r w:rsidRPr="00024079">
        <w:rPr>
          <w:rFonts w:ascii="Times New Roman" w:hAnsi="Times New Roman" w:cs="Times New Roman"/>
          <w:sz w:val="28"/>
          <w:szCs w:val="28"/>
        </w:rPr>
        <w:t>м.б</w:t>
      </w:r>
      <w:proofErr w:type="spellEnd"/>
      <w:r w:rsidRPr="00024079">
        <w:rPr>
          <w:rFonts w:ascii="Times New Roman" w:hAnsi="Times New Roman" w:cs="Times New Roman"/>
          <w:sz w:val="28"/>
          <w:szCs w:val="28"/>
        </w:rPr>
        <w:t xml:space="preserve">. микрорайонными, </w:t>
      </w:r>
      <w:proofErr w:type="gramStart"/>
      <w:r w:rsidRPr="00024079">
        <w:rPr>
          <w:rFonts w:ascii="Times New Roman" w:hAnsi="Times New Roman" w:cs="Times New Roman"/>
          <w:sz w:val="28"/>
          <w:szCs w:val="28"/>
        </w:rPr>
        <w:t>районными</w:t>
      </w:r>
      <w:proofErr w:type="gramEnd"/>
      <w:r w:rsidRPr="00024079">
        <w:rPr>
          <w:rFonts w:ascii="Times New Roman" w:hAnsi="Times New Roman" w:cs="Times New Roman"/>
          <w:sz w:val="28"/>
          <w:szCs w:val="28"/>
        </w:rPr>
        <w:t xml:space="preserve">, межрайонными, общегородскими. Размеры и нормативы спортивных сооружений различных типов определяются действующими нормами проектирования. Спортивные сооружения для квалифицированных спортсменов и спортивные арены с беговыми дорожками и секторами легкой атлетики рассчитываются и выполняются по специальным проектам индивидуально. Площадки размещают на территории микрорайона в соответствии с </w:t>
      </w:r>
      <w:proofErr w:type="spellStart"/>
      <w:r w:rsidRPr="00024079">
        <w:rPr>
          <w:rFonts w:ascii="Times New Roman" w:hAnsi="Times New Roman" w:cs="Times New Roman"/>
          <w:sz w:val="28"/>
          <w:szCs w:val="28"/>
        </w:rPr>
        <w:t>санитарногигиеническими</w:t>
      </w:r>
      <w:proofErr w:type="spellEnd"/>
      <w:r w:rsidRPr="00024079">
        <w:rPr>
          <w:rFonts w:ascii="Times New Roman" w:hAnsi="Times New Roman" w:cs="Times New Roman"/>
          <w:sz w:val="28"/>
          <w:szCs w:val="28"/>
        </w:rPr>
        <w:t xml:space="preserve"> требованиями проектирования. В микрорайонах устраивают площадки со следующими размерами игрового поля: Баскетбольная – 26х14м, Волейбольная – 9х18 м, Настольный теннис – 4,5х</w:t>
      </w:r>
      <w:proofErr w:type="gramStart"/>
      <w:r w:rsidRPr="00024079">
        <w:rPr>
          <w:rFonts w:ascii="Times New Roman" w:hAnsi="Times New Roman" w:cs="Times New Roman"/>
          <w:sz w:val="28"/>
          <w:szCs w:val="28"/>
        </w:rPr>
        <w:t>7</w:t>
      </w:r>
      <w:proofErr w:type="gramEnd"/>
      <w:r w:rsidRPr="00024079">
        <w:rPr>
          <w:rFonts w:ascii="Times New Roman" w:hAnsi="Times New Roman" w:cs="Times New Roman"/>
          <w:sz w:val="28"/>
          <w:szCs w:val="28"/>
        </w:rPr>
        <w:t>,7 м, Ручной мяч – 67х36 м, Детский хоккей – 40х20 м, Бадминтон – 13,4х6,1 м, Городки – 30х15 м, Теннисный корт – 37х18,5 м, Фигурное катание – 61х30м. Допустимо устройство комплексных площадок 65х36, 36х24 м. 25 4.3. Организация спортивных и детских площадок 1. Детские площадки следует изолировать от транзитного пешеходного движения, проездов, разворотных площадок, гостевых стоянок, площадок для установки мусоросборников, участков гаражей-стоянок. Подходы к детским площадкам не должны быть организованы с проездов и улиц. При условии изоляции детских площадок зелеными насаждениями (деревья, кустарники) минимальное расстояние от границ детских площадок до гостевых стоянок и участков гараже</w:t>
      </w:r>
      <w:proofErr w:type="gramStart"/>
      <w:r w:rsidRPr="00024079">
        <w:rPr>
          <w:rFonts w:ascii="Times New Roman" w:hAnsi="Times New Roman" w:cs="Times New Roman"/>
          <w:sz w:val="28"/>
          <w:szCs w:val="28"/>
        </w:rPr>
        <w:t>й-</w:t>
      </w:r>
      <w:proofErr w:type="gramEnd"/>
      <w:r w:rsidRPr="00024079">
        <w:rPr>
          <w:rFonts w:ascii="Times New Roman" w:hAnsi="Times New Roman" w:cs="Times New Roman"/>
          <w:sz w:val="28"/>
          <w:szCs w:val="28"/>
        </w:rPr>
        <w:t xml:space="preserve"> стоянок следует принимать согласно таблице 4.4.1 </w:t>
      </w:r>
      <w:r w:rsidRPr="00024079">
        <w:rPr>
          <w:rFonts w:ascii="Times New Roman" w:hAnsi="Times New Roman" w:cs="Times New Roman"/>
          <w:sz w:val="28"/>
          <w:szCs w:val="28"/>
        </w:rPr>
        <w:lastRenderedPageBreak/>
        <w:t xml:space="preserve">СанПиН 2.2.1/2.1.1.1031, площадок мусоросборников - 15 м, </w:t>
      </w:r>
      <w:proofErr w:type="spellStart"/>
      <w:r w:rsidRPr="00024079">
        <w:rPr>
          <w:rFonts w:ascii="Times New Roman" w:hAnsi="Times New Roman" w:cs="Times New Roman"/>
          <w:sz w:val="28"/>
          <w:szCs w:val="28"/>
        </w:rPr>
        <w:t>отстойно</w:t>
      </w:r>
      <w:proofErr w:type="spellEnd"/>
      <w:r w:rsidRPr="00024079">
        <w:rPr>
          <w:rFonts w:ascii="Times New Roman" w:hAnsi="Times New Roman" w:cs="Times New Roman"/>
          <w:sz w:val="28"/>
          <w:szCs w:val="28"/>
        </w:rPr>
        <w:t xml:space="preserve">-разворотных площадок на конечных остановках маршрутов городского пассажирского транспорта - не менее 50 м . 2. При реконструкции детских площадок во избежание травматизма следует предотвращать наличие на территории площадки выступающих корней или нависающих низких веток, остатков старого срезанного оборудования (стойки, фундаменты), находящихся над поверхностью земли, незаглубленных в землю металлических перемычек (как правило, у турников и качелей). При реконструкции прилегающих территорий детские площадки должны быть изолированы от мест ведения работ и складирования строительных материалов. 3. Обязательный перечень элементов комплексного благоустройства на детской площадке включает: «мягкие» виды покрытия, элементы сопряжения поверхности площадки с газоном, озеленение, игровое оборудование, скамьи и урны, осветительное оборудование. 4. «Мягкие » виды покрытия (песчаное, уплотненное песчаное на грунтовом основании или гравийной крошке, мягкое резиновое или мягкое синтетическое) следует предусматривать на детской площадке в местах расположения игрового оборудования и других, связанных с возможностью падения детей. Места установки скамеек рекомендуется оборудовать твердыми видами покрытия или фундаментом. При травяном покрытии площадок необходимо предусматривать пешеходные дорожки к оборудованию с твердым, «мягким» или комбинированным видами покрытия. 5. Для сопряжения поверхностей площадки и газона следует применять садовые бортовые камни со скошенными или закругленными краями. 6. Детские площадки должны быть озеленены посадками деревьев и кустарника, </w:t>
      </w:r>
      <w:proofErr w:type="spellStart"/>
      <w:r w:rsidRPr="00024079">
        <w:rPr>
          <w:rFonts w:ascii="Times New Roman" w:hAnsi="Times New Roman" w:cs="Times New Roman"/>
          <w:sz w:val="28"/>
          <w:szCs w:val="28"/>
        </w:rPr>
        <w:t>инсолироваться</w:t>
      </w:r>
      <w:proofErr w:type="spellEnd"/>
      <w:r w:rsidRPr="00024079">
        <w:rPr>
          <w:rFonts w:ascii="Times New Roman" w:hAnsi="Times New Roman" w:cs="Times New Roman"/>
          <w:sz w:val="28"/>
          <w:szCs w:val="28"/>
        </w:rPr>
        <w:t xml:space="preserve"> в течение 5 часов светового дня. Деревья с восточной и северной стороны площадки должны высаживаться не ближе 3-х м, а с южной и западной - не ближе 1 м от края площадки до оси дерева. На площадках дошкольного возраста не допускается применение видов растений с колючками. На всех видах детских площадок не допускается применение растений с ядовитыми плодами. 7. Размещение игрового оборудования следует проектировать с учетом нормативных параметров безопасности. Площадки спортивн</w:t>
      </w:r>
      <w:proofErr w:type="gramStart"/>
      <w:r w:rsidRPr="00024079">
        <w:rPr>
          <w:rFonts w:ascii="Times New Roman" w:hAnsi="Times New Roman" w:cs="Times New Roman"/>
          <w:sz w:val="28"/>
          <w:szCs w:val="28"/>
        </w:rPr>
        <w:t>о-</w:t>
      </w:r>
      <w:proofErr w:type="gramEnd"/>
      <w:r w:rsidRPr="00024079">
        <w:rPr>
          <w:rFonts w:ascii="Times New Roman" w:hAnsi="Times New Roman" w:cs="Times New Roman"/>
          <w:sz w:val="28"/>
          <w:szCs w:val="28"/>
        </w:rPr>
        <w:t xml:space="preserve"> игровых комплексов должны быть оборудованы стендом с правилами поведения на площадке и пользования спортивно-игровым оборудованием. 8. Осветительное оборудование должно функционировать в режиме освещения территории, на которой расположена площадка. </w:t>
      </w:r>
      <w:proofErr w:type="gramStart"/>
      <w:r w:rsidRPr="00024079">
        <w:rPr>
          <w:rFonts w:ascii="Times New Roman" w:hAnsi="Times New Roman" w:cs="Times New Roman"/>
          <w:sz w:val="28"/>
          <w:szCs w:val="28"/>
        </w:rPr>
        <w:t xml:space="preserve">Не допускается размещение осветительного оборудования на высоте менее 2,5 м. Технологичность элементов детской и спортивной площадок характеризуется следующими основными факторами: </w:t>
      </w:r>
      <w:r w:rsidRPr="00024079">
        <w:rPr>
          <w:rFonts w:ascii="Times New Roman" w:hAnsi="Times New Roman" w:cs="Times New Roman"/>
          <w:sz w:val="28"/>
          <w:szCs w:val="28"/>
        </w:rPr>
        <w:sym w:font="Symbol" w:char="F0B7"/>
      </w:r>
      <w:r w:rsidRPr="00024079">
        <w:rPr>
          <w:rFonts w:ascii="Times New Roman" w:hAnsi="Times New Roman" w:cs="Times New Roman"/>
          <w:sz w:val="28"/>
          <w:szCs w:val="28"/>
        </w:rPr>
        <w:t xml:space="preserve"> правильным выбором материалов; 26 </w:t>
      </w:r>
      <w:r w:rsidRPr="00024079">
        <w:rPr>
          <w:rFonts w:ascii="Times New Roman" w:hAnsi="Times New Roman" w:cs="Times New Roman"/>
          <w:sz w:val="28"/>
          <w:szCs w:val="28"/>
        </w:rPr>
        <w:sym w:font="Symbol" w:char="F0B7"/>
      </w:r>
      <w:r w:rsidRPr="00024079">
        <w:rPr>
          <w:rFonts w:ascii="Times New Roman" w:hAnsi="Times New Roman" w:cs="Times New Roman"/>
          <w:sz w:val="28"/>
          <w:szCs w:val="28"/>
        </w:rPr>
        <w:t xml:space="preserve"> оптимальностью формы и размеров, входящих в изделие элементов (деталей и узлов); </w:t>
      </w:r>
      <w:r w:rsidRPr="00024079">
        <w:rPr>
          <w:rFonts w:ascii="Times New Roman" w:hAnsi="Times New Roman" w:cs="Times New Roman"/>
          <w:sz w:val="28"/>
          <w:szCs w:val="28"/>
        </w:rPr>
        <w:sym w:font="Symbol" w:char="F0B7"/>
      </w:r>
      <w:r w:rsidRPr="00024079">
        <w:rPr>
          <w:rFonts w:ascii="Times New Roman" w:hAnsi="Times New Roman" w:cs="Times New Roman"/>
          <w:sz w:val="28"/>
          <w:szCs w:val="28"/>
        </w:rPr>
        <w:t xml:space="preserve"> наименьшим количеством используемых в конструкции наименований материалов и готовых изделий; </w:t>
      </w:r>
      <w:r w:rsidRPr="00024079">
        <w:rPr>
          <w:rFonts w:ascii="Times New Roman" w:hAnsi="Times New Roman" w:cs="Times New Roman"/>
          <w:sz w:val="28"/>
          <w:szCs w:val="28"/>
        </w:rPr>
        <w:sym w:font="Symbol" w:char="F0B7"/>
      </w:r>
      <w:r w:rsidRPr="00024079">
        <w:rPr>
          <w:rFonts w:ascii="Times New Roman" w:hAnsi="Times New Roman" w:cs="Times New Roman"/>
          <w:sz w:val="28"/>
          <w:szCs w:val="28"/>
        </w:rPr>
        <w:t xml:space="preserve"> малой материалоемкостью изделий, максимальным использованием нормализованных элементов и стандартных материалов;</w:t>
      </w:r>
      <w:proofErr w:type="gramEnd"/>
      <w:r w:rsidRPr="00024079">
        <w:rPr>
          <w:rFonts w:ascii="Times New Roman" w:hAnsi="Times New Roman" w:cs="Times New Roman"/>
          <w:sz w:val="28"/>
          <w:szCs w:val="28"/>
        </w:rPr>
        <w:t xml:space="preserve"> </w:t>
      </w:r>
      <w:r w:rsidRPr="00024079">
        <w:rPr>
          <w:rFonts w:ascii="Times New Roman" w:hAnsi="Times New Roman" w:cs="Times New Roman"/>
          <w:sz w:val="28"/>
          <w:szCs w:val="28"/>
        </w:rPr>
        <w:sym w:font="Symbol" w:char="F0B7"/>
      </w:r>
      <w:r w:rsidRPr="00024079">
        <w:rPr>
          <w:rFonts w:ascii="Times New Roman" w:hAnsi="Times New Roman" w:cs="Times New Roman"/>
          <w:sz w:val="28"/>
          <w:szCs w:val="28"/>
        </w:rPr>
        <w:t xml:space="preserve"> рациональным ограничением числа поверхностей </w:t>
      </w:r>
      <w:r w:rsidRPr="00024079">
        <w:rPr>
          <w:rFonts w:ascii="Times New Roman" w:hAnsi="Times New Roman" w:cs="Times New Roman"/>
          <w:sz w:val="28"/>
          <w:szCs w:val="28"/>
        </w:rPr>
        <w:lastRenderedPageBreak/>
        <w:t>с высокими требованиями к точности обработки и шероховатости. Общая структура промышленных технологических процессов, которой может пользоваться дизайнер-проектировщик при создании элементов детских площадок, схожа с технологическими процессами создания мебели и включает: формирующие, обрабатывающие, прочностные, отделочные и скрепляющие технологические процессы. В любой искусственно создаваемой для детей предметн</w:t>
      </w:r>
      <w:proofErr w:type="gramStart"/>
      <w:r w:rsidRPr="00024079">
        <w:rPr>
          <w:rFonts w:ascii="Times New Roman" w:hAnsi="Times New Roman" w:cs="Times New Roman"/>
          <w:sz w:val="28"/>
          <w:szCs w:val="28"/>
        </w:rPr>
        <w:t>о-</w:t>
      </w:r>
      <w:proofErr w:type="gramEnd"/>
      <w:r w:rsidRPr="00024079">
        <w:rPr>
          <w:rFonts w:ascii="Times New Roman" w:hAnsi="Times New Roman" w:cs="Times New Roman"/>
          <w:sz w:val="28"/>
          <w:szCs w:val="28"/>
        </w:rPr>
        <w:t xml:space="preserve"> пространственной среде взрослые всегда материализуют свою систему представлений о том, что полезно и хорошо для ребенка. Не случаен традиционный набор таких элементов как качели разных сортов, стенки для лазания, карусели, песочницы, горки, грибки, домики и т.д. Контакт с каждым из этих предметов позволяет ребенку прочувствовать и пережить нечто важное для его развития. Причем темы этих переживаний универсальны - они значимы для всех детей на протяжении длительных возрастных периодов. Применение песочницы наиболее подходит для работы с детьми дошкольного возраста. Часто маленькие дети затрудняются в выражении своих переживаний из-за недостаточного развития вербального аппарата, бедности представлений. Качели различаются по своему устройству, которое определяется тем, где находится точка опоры. Качели могут быть висячими: чаще всего встречаются такие качели для самых маленьких в виде сиденья со спинкой, подлокотниками и подножкой, </w:t>
      </w:r>
      <w:proofErr w:type="gramStart"/>
      <w:r w:rsidRPr="00024079">
        <w:rPr>
          <w:rFonts w:ascii="Times New Roman" w:hAnsi="Times New Roman" w:cs="Times New Roman"/>
          <w:sz w:val="28"/>
          <w:szCs w:val="28"/>
        </w:rPr>
        <w:t>которое</w:t>
      </w:r>
      <w:proofErr w:type="gramEnd"/>
      <w:r w:rsidRPr="00024079">
        <w:rPr>
          <w:rFonts w:ascii="Times New Roman" w:hAnsi="Times New Roman" w:cs="Times New Roman"/>
          <w:sz w:val="28"/>
          <w:szCs w:val="28"/>
        </w:rPr>
        <w:t xml:space="preserve"> двумя металлическими штангами подвижно прикреплено к П-образной невысокой опоре. Лестницы, данный элемент всегда присутствуют на детской площадке в той или иной модификации. </w:t>
      </w:r>
      <w:proofErr w:type="gramStart"/>
      <w:r w:rsidRPr="00024079">
        <w:rPr>
          <w:rFonts w:ascii="Times New Roman" w:hAnsi="Times New Roman" w:cs="Times New Roman"/>
          <w:sz w:val="28"/>
          <w:szCs w:val="28"/>
        </w:rPr>
        <w:t xml:space="preserve">Это могут быть короткие или длинные вертикальные лесенки типа шведских стенок, а могут быть дугообразные, обоими концами упирающиеся в землю, и т. д. Главное, что все они предназначены для игрового лазания, а их прообразом в естественной среде являются деревья с торчащими в разные стороны ветвями - тоже своего рода «лестницы в небо». </w:t>
      </w:r>
      <w:proofErr w:type="gramEnd"/>
    </w:p>
    <w:p w:rsidR="002F120E" w:rsidRPr="00024079" w:rsidRDefault="00024079" w:rsidP="00024079">
      <w:pPr>
        <w:spacing w:after="0" w:line="240" w:lineRule="auto"/>
        <w:ind w:firstLine="709"/>
        <w:jc w:val="both"/>
        <w:rPr>
          <w:rFonts w:ascii="Times New Roman" w:hAnsi="Times New Roman" w:cs="Times New Roman"/>
          <w:sz w:val="28"/>
          <w:szCs w:val="28"/>
        </w:rPr>
      </w:pPr>
      <w:r w:rsidRPr="00024079">
        <w:rPr>
          <w:rFonts w:ascii="Times New Roman" w:hAnsi="Times New Roman" w:cs="Times New Roman"/>
          <w:sz w:val="28"/>
          <w:szCs w:val="28"/>
        </w:rPr>
        <w:t xml:space="preserve">В процессе строительства простейших площадок выполняют следующие операции: 1. определение строительных размеров площадки: в натуру с помощью нивелира выносят их размеры в соответствии с разбивочным чертежом, обозначают углы или характерные точки забивкой металлических трубок на глубину до 80 см. 2. устройство основания – корыта с системой поверхностного водоотвода и дренажа. </w:t>
      </w:r>
      <w:proofErr w:type="gramStart"/>
      <w:r w:rsidRPr="00024079">
        <w:rPr>
          <w:rFonts w:ascii="Times New Roman" w:hAnsi="Times New Roman" w:cs="Times New Roman"/>
          <w:sz w:val="28"/>
          <w:szCs w:val="28"/>
        </w:rPr>
        <w:t xml:space="preserve">Его планировка и уплотнение. 3. установка облегченного бетонного </w:t>
      </w:r>
      <w:proofErr w:type="spellStart"/>
      <w:r w:rsidRPr="00024079">
        <w:rPr>
          <w:rFonts w:ascii="Times New Roman" w:hAnsi="Times New Roman" w:cs="Times New Roman"/>
          <w:sz w:val="28"/>
          <w:szCs w:val="28"/>
        </w:rPr>
        <w:t>поребрика</w:t>
      </w:r>
      <w:proofErr w:type="spellEnd"/>
      <w:r w:rsidRPr="00024079">
        <w:rPr>
          <w:rFonts w:ascii="Times New Roman" w:hAnsi="Times New Roman" w:cs="Times New Roman"/>
          <w:sz w:val="28"/>
          <w:szCs w:val="28"/>
        </w:rPr>
        <w:t xml:space="preserve"> или деревянной опалубки, высотой, равной толщине всех одежд конструкции. 27 4. устройство подстилающего слоя из дренирующих материалов (на плотных грунтах) или </w:t>
      </w:r>
      <w:proofErr w:type="spellStart"/>
      <w:r w:rsidRPr="00024079">
        <w:rPr>
          <w:rFonts w:ascii="Times New Roman" w:hAnsi="Times New Roman" w:cs="Times New Roman"/>
          <w:sz w:val="28"/>
          <w:szCs w:val="28"/>
        </w:rPr>
        <w:t>упруговлагоемкого</w:t>
      </w:r>
      <w:proofErr w:type="spellEnd"/>
      <w:r w:rsidRPr="00024079">
        <w:rPr>
          <w:rFonts w:ascii="Times New Roman" w:hAnsi="Times New Roman" w:cs="Times New Roman"/>
          <w:sz w:val="28"/>
          <w:szCs w:val="28"/>
        </w:rPr>
        <w:t xml:space="preserve"> слоя слоем 8-10 см со слоем инертных материалов 1-2 см. Послойно увлажняют и укатывают 2-х тонными катками по 5-6 проходов.</w:t>
      </w:r>
      <w:proofErr w:type="gramEnd"/>
      <w:r w:rsidRPr="00024079">
        <w:rPr>
          <w:rFonts w:ascii="Times New Roman" w:hAnsi="Times New Roman" w:cs="Times New Roman"/>
          <w:sz w:val="28"/>
          <w:szCs w:val="28"/>
        </w:rPr>
        <w:t xml:space="preserve"> </w:t>
      </w:r>
      <w:proofErr w:type="gramStart"/>
      <w:r w:rsidRPr="00024079">
        <w:rPr>
          <w:rFonts w:ascii="Times New Roman" w:hAnsi="Times New Roman" w:cs="Times New Roman"/>
          <w:sz w:val="28"/>
          <w:szCs w:val="28"/>
        </w:rPr>
        <w:t xml:space="preserve">При строительстве площадок в микрорайонах и на территории небольших спорткомплексов в ряде случаев, используются </w:t>
      </w:r>
      <w:proofErr w:type="spellStart"/>
      <w:r w:rsidRPr="00024079">
        <w:rPr>
          <w:rFonts w:ascii="Times New Roman" w:hAnsi="Times New Roman" w:cs="Times New Roman"/>
          <w:sz w:val="28"/>
          <w:szCs w:val="28"/>
        </w:rPr>
        <w:t>упруговлагоемкие</w:t>
      </w:r>
      <w:proofErr w:type="spellEnd"/>
      <w:r w:rsidRPr="00024079">
        <w:rPr>
          <w:rFonts w:ascii="Times New Roman" w:hAnsi="Times New Roman" w:cs="Times New Roman"/>
          <w:sz w:val="28"/>
          <w:szCs w:val="28"/>
        </w:rPr>
        <w:t xml:space="preserve"> материалы, которые при внесении их в слои основания, придают поверхности сооружений упругость и эластичность: торф малой степени разложения в смеси с пиритовыми огарками, опилки, лигнин, хлопковая шелуха и др. 5. послойное устройство среднего промежуточного </w:t>
      </w:r>
      <w:r w:rsidRPr="00024079">
        <w:rPr>
          <w:rFonts w:ascii="Times New Roman" w:hAnsi="Times New Roman" w:cs="Times New Roman"/>
          <w:sz w:val="28"/>
          <w:szCs w:val="28"/>
        </w:rPr>
        <w:lastRenderedPageBreak/>
        <w:t>слоя (10-12 см) из инертных материалов с уменьшением фракций каждого материала</w:t>
      </w:r>
      <w:proofErr w:type="gramEnd"/>
      <w:r w:rsidRPr="00024079">
        <w:rPr>
          <w:rFonts w:ascii="Times New Roman" w:hAnsi="Times New Roman" w:cs="Times New Roman"/>
          <w:sz w:val="28"/>
          <w:szCs w:val="28"/>
        </w:rPr>
        <w:t xml:space="preserve"> к поверхности покрытия. 6. нанесение изоляционного слоя (4 см в плотном теле) из дренирующих материалов или </w:t>
      </w:r>
      <w:proofErr w:type="spellStart"/>
      <w:r w:rsidRPr="00024079">
        <w:rPr>
          <w:rFonts w:ascii="Times New Roman" w:hAnsi="Times New Roman" w:cs="Times New Roman"/>
          <w:sz w:val="28"/>
          <w:szCs w:val="28"/>
        </w:rPr>
        <w:t>упруговлагоемкого</w:t>
      </w:r>
      <w:proofErr w:type="spellEnd"/>
      <w:r w:rsidRPr="00024079">
        <w:rPr>
          <w:rFonts w:ascii="Times New Roman" w:hAnsi="Times New Roman" w:cs="Times New Roman"/>
          <w:sz w:val="28"/>
          <w:szCs w:val="28"/>
        </w:rPr>
        <w:t xml:space="preserve"> слоя. 7. Подготовка </w:t>
      </w:r>
      <w:proofErr w:type="spellStart"/>
      <w:r w:rsidRPr="00024079">
        <w:rPr>
          <w:rFonts w:ascii="Times New Roman" w:hAnsi="Times New Roman" w:cs="Times New Roman"/>
          <w:sz w:val="28"/>
          <w:szCs w:val="28"/>
        </w:rPr>
        <w:t>спецсмеси</w:t>
      </w:r>
      <w:proofErr w:type="spellEnd"/>
      <w:r w:rsidRPr="00024079">
        <w:rPr>
          <w:rFonts w:ascii="Times New Roman" w:hAnsi="Times New Roman" w:cs="Times New Roman"/>
          <w:sz w:val="28"/>
          <w:szCs w:val="28"/>
        </w:rPr>
        <w:t xml:space="preserve"> для верхнего покрытия. Материалы для него подбирают по одному из рекомендуемых рецептов с учетом гранулометрического состава смеси (2—4 мм - 18—23%, 0,05-2 мм - 47-52%, 0,002-0,05 мм - 18-23 %, 0,002 мм - 6-7 %). Инертные и вяжущие материалы просеивают через металлические сетки с разным диаметром отверстий, чтобы исключить включения более крупных зерен. Смешение материалов в </w:t>
      </w:r>
      <w:proofErr w:type="spellStart"/>
      <w:r w:rsidRPr="00024079">
        <w:rPr>
          <w:rFonts w:ascii="Times New Roman" w:hAnsi="Times New Roman" w:cs="Times New Roman"/>
          <w:sz w:val="28"/>
          <w:szCs w:val="28"/>
        </w:rPr>
        <w:t>спецсмесь</w:t>
      </w:r>
      <w:proofErr w:type="spellEnd"/>
      <w:r w:rsidRPr="00024079">
        <w:rPr>
          <w:rFonts w:ascii="Times New Roman" w:hAnsi="Times New Roman" w:cs="Times New Roman"/>
          <w:sz w:val="28"/>
          <w:szCs w:val="28"/>
        </w:rPr>
        <w:t xml:space="preserve"> производят механизировано (роторным смесителем и фрезерным погрузчиком) или вручную. Для выполнения операции требуется площадка с твердым покрытием и размером, зависящим от объема смеси. На площадку с твердым покрытием рассыпают ровной лентой инертный материал, количество которого определяется размерами ленты на 1 м3 смеси. Ширина ленты — 1,5 м, высота в среднем 0,15 м. Уложенный материал поливают водой до влажного состояния, после чего вводят вяжущие добавки (сухую порошкообразную глину или известь) и смешивают материалы роторным рыхлителем, перекладывая их через транспортер на другую сторону площадки. Процесс повторяют 2-3 раза. Влажный метод смешения материалов позволяет лучше распределить вяжущие добавки между частицами влажного инертного материала. Это дает хорошую связь между всеми зернами при этом не будет потерь мелких (0,02 мм и меньше) глинистых частиц, что нарушает гранулометрический состав смеси. Можно готовить смесь и с помощью бетономешалки. В случае приготовления небольших объемов специальной смеси смешение материалов производят вручную путем их «</w:t>
      </w:r>
      <w:proofErr w:type="spellStart"/>
      <w:r w:rsidRPr="00024079">
        <w:rPr>
          <w:rFonts w:ascii="Times New Roman" w:hAnsi="Times New Roman" w:cs="Times New Roman"/>
          <w:sz w:val="28"/>
          <w:szCs w:val="28"/>
        </w:rPr>
        <w:t>гарцевания</w:t>
      </w:r>
      <w:proofErr w:type="spellEnd"/>
      <w:r w:rsidRPr="00024079">
        <w:rPr>
          <w:rFonts w:ascii="Times New Roman" w:hAnsi="Times New Roman" w:cs="Times New Roman"/>
          <w:sz w:val="28"/>
          <w:szCs w:val="28"/>
        </w:rPr>
        <w:t xml:space="preserve">». Готовую смесь определяют по однородному цвету, те же места, которые отличаются от основной массы, перемешивают дополнительно. Перед укладкой проводят пробное испытание специальной смеси. Для этого смесь укладывают в виде ленты шириной 0,8 - 1 м, длиной свыше 20 м на площадке с твердым покрытием. После ее полива и уплотнения проводят проверку на просыхание, влажность и механическое воздействие (бег, прыжки и т.д.). Техническая комиссия составляет акт на пригодность </w:t>
      </w:r>
      <w:proofErr w:type="spellStart"/>
      <w:r w:rsidRPr="00024079">
        <w:rPr>
          <w:rFonts w:ascii="Times New Roman" w:hAnsi="Times New Roman" w:cs="Times New Roman"/>
          <w:sz w:val="28"/>
          <w:szCs w:val="28"/>
        </w:rPr>
        <w:t>спецсмеси</w:t>
      </w:r>
      <w:proofErr w:type="spellEnd"/>
      <w:r w:rsidRPr="00024079">
        <w:rPr>
          <w:rFonts w:ascii="Times New Roman" w:hAnsi="Times New Roman" w:cs="Times New Roman"/>
          <w:sz w:val="28"/>
          <w:szCs w:val="28"/>
        </w:rPr>
        <w:t xml:space="preserve"> к укладке. 8. укладка верхнего покрова из </w:t>
      </w:r>
      <w:proofErr w:type="spellStart"/>
      <w:r w:rsidRPr="00024079">
        <w:rPr>
          <w:rFonts w:ascii="Times New Roman" w:hAnsi="Times New Roman" w:cs="Times New Roman"/>
          <w:sz w:val="28"/>
          <w:szCs w:val="28"/>
        </w:rPr>
        <w:t>спецсмеси</w:t>
      </w:r>
      <w:proofErr w:type="spellEnd"/>
      <w:r w:rsidRPr="00024079">
        <w:rPr>
          <w:rFonts w:ascii="Times New Roman" w:hAnsi="Times New Roman" w:cs="Times New Roman"/>
          <w:sz w:val="28"/>
          <w:szCs w:val="28"/>
        </w:rPr>
        <w:t xml:space="preserve">. Ее выполняют аккуратно по специальным рейкам или шнуру, ограничивающим отдельные участки площадки по направлению от центральной линии к боковым сторонам. Изоляционный слой обильно смачивают водой и, не дав ему просохнуть, укладывают по нему </w:t>
      </w:r>
      <w:proofErr w:type="spellStart"/>
      <w:r w:rsidRPr="00024079">
        <w:rPr>
          <w:rFonts w:ascii="Times New Roman" w:hAnsi="Times New Roman" w:cs="Times New Roman"/>
          <w:sz w:val="28"/>
          <w:szCs w:val="28"/>
        </w:rPr>
        <w:t>спецсмесь</w:t>
      </w:r>
      <w:proofErr w:type="spellEnd"/>
      <w:r w:rsidRPr="00024079">
        <w:rPr>
          <w:rFonts w:ascii="Times New Roman" w:hAnsi="Times New Roman" w:cs="Times New Roman"/>
          <w:sz w:val="28"/>
          <w:szCs w:val="28"/>
        </w:rPr>
        <w:t>, чтобы устранить потери пылеватых и глинистых частиц и избежать дополнительного увлажнения. Специальную смесь укладывают в один прием с учетом ее осадки до 35% при уплотнении. Выравнивают ее при помощи специальных устройств («</w:t>
      </w:r>
      <w:proofErr w:type="spellStart"/>
      <w:r w:rsidRPr="00024079">
        <w:rPr>
          <w:rFonts w:ascii="Times New Roman" w:hAnsi="Times New Roman" w:cs="Times New Roman"/>
          <w:sz w:val="28"/>
          <w:szCs w:val="28"/>
        </w:rPr>
        <w:t>равнялок</w:t>
      </w:r>
      <w:proofErr w:type="spellEnd"/>
      <w:r w:rsidRPr="00024079">
        <w:rPr>
          <w:rFonts w:ascii="Times New Roman" w:hAnsi="Times New Roman" w:cs="Times New Roman"/>
          <w:sz w:val="28"/>
          <w:szCs w:val="28"/>
        </w:rPr>
        <w:t>») в соответств</w:t>
      </w:r>
      <w:r>
        <w:rPr>
          <w:rFonts w:ascii="Times New Roman" w:hAnsi="Times New Roman" w:cs="Times New Roman"/>
          <w:sz w:val="28"/>
          <w:szCs w:val="28"/>
        </w:rPr>
        <w:t>ии с проектными отметками. По</w:t>
      </w:r>
      <w:bookmarkStart w:id="0" w:name="_GoBack"/>
      <w:bookmarkEnd w:id="0"/>
      <w:r w:rsidRPr="00024079">
        <w:rPr>
          <w:rFonts w:ascii="Times New Roman" w:hAnsi="Times New Roman" w:cs="Times New Roman"/>
          <w:sz w:val="28"/>
          <w:szCs w:val="28"/>
        </w:rPr>
        <w:t xml:space="preserve"> выровненной поверхности ходить нельзя, так как места заступов будут уплотняться неравномерно со всей поверхностью и их придется повторно рыхлить и выравнивать. Уложенную смесь постепенно уплотняют различными по массе катками. Для предупреждения прилипания </w:t>
      </w:r>
      <w:r w:rsidRPr="00024079">
        <w:rPr>
          <w:rFonts w:ascii="Times New Roman" w:hAnsi="Times New Roman" w:cs="Times New Roman"/>
          <w:sz w:val="28"/>
          <w:szCs w:val="28"/>
        </w:rPr>
        <w:lastRenderedPageBreak/>
        <w:t xml:space="preserve">к вальцам катка поверхность посыпают тонким слоем каменной крошки. В первую очередь используют ручной каток массой до 100 кг или ручную трамбовку, чтобы получить осадку смеси на 12 - 15 мм и исключить смешение смеси и изоляционного слоя при дальнейшей укатке моторными катками. Поверхность осторожно и равномерно поливают распыленной струей так, чтобы исключить появление водных пятен и блеска по поверхности, что сигнализирует о перенасыщении ее влагой. После просыхания поверхности и образования сухой корочки на ней приступают к укатке катком массой 200 - 250 кг 5 раз по одному месту, после чего снова увлажняют и укатывают поверхность катком массой 500 - 800 кг 6 - 8 раз по одному месту. Окончательное уплотнение катками массой до 2 т сопровождают проверкой уклонов, которые при необходимости исправляют. В течение 2 дней 2 раза в день после обильного полива смеси на всю ее толщину и просыхания верхней корочки проводят укатку 7 - 8 раз по одному месту. На 3-й день поверхность слегка поливают и покрывают тонким слоем (4 мм) основного компонента </w:t>
      </w:r>
      <w:proofErr w:type="spellStart"/>
      <w:r w:rsidRPr="00024079">
        <w:rPr>
          <w:rFonts w:ascii="Times New Roman" w:hAnsi="Times New Roman" w:cs="Times New Roman"/>
          <w:sz w:val="28"/>
          <w:szCs w:val="28"/>
        </w:rPr>
        <w:t>спецсмеси</w:t>
      </w:r>
      <w:proofErr w:type="spellEnd"/>
      <w:r w:rsidRPr="00024079">
        <w:rPr>
          <w:rFonts w:ascii="Times New Roman" w:hAnsi="Times New Roman" w:cs="Times New Roman"/>
          <w:sz w:val="28"/>
          <w:szCs w:val="28"/>
        </w:rPr>
        <w:t xml:space="preserve">. После полива распыленной струей этот слой «закатывают» в покрытие. Поверхность выравнивают с помощью специального устройства на </w:t>
      </w:r>
      <w:proofErr w:type="spellStart"/>
      <w:r w:rsidRPr="00024079">
        <w:rPr>
          <w:rFonts w:ascii="Times New Roman" w:hAnsi="Times New Roman" w:cs="Times New Roman"/>
          <w:sz w:val="28"/>
          <w:szCs w:val="28"/>
        </w:rPr>
        <w:t>микротракторе</w:t>
      </w:r>
      <w:proofErr w:type="spellEnd"/>
      <w:r w:rsidRPr="00024079">
        <w:rPr>
          <w:rFonts w:ascii="Times New Roman" w:hAnsi="Times New Roman" w:cs="Times New Roman"/>
          <w:sz w:val="28"/>
          <w:szCs w:val="28"/>
        </w:rPr>
        <w:t>. 7. установка спец. оборудования и горизонтальная разметка.</w:t>
      </w:r>
    </w:p>
    <w:sectPr w:rsidR="002F120E" w:rsidRPr="000240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214"/>
    <w:rsid w:val="00021214"/>
    <w:rsid w:val="00024079"/>
    <w:rsid w:val="00163258"/>
    <w:rsid w:val="00170EFA"/>
    <w:rsid w:val="002F120E"/>
    <w:rsid w:val="00324968"/>
    <w:rsid w:val="00647FBC"/>
    <w:rsid w:val="007016AE"/>
    <w:rsid w:val="008364FB"/>
    <w:rsid w:val="00841177"/>
    <w:rsid w:val="00883C5D"/>
    <w:rsid w:val="00C02EA1"/>
    <w:rsid w:val="00C776F9"/>
    <w:rsid w:val="00ED2E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2865</Words>
  <Characters>16336</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2021-11-08T15:46:00Z</dcterms:created>
  <dcterms:modified xsi:type="dcterms:W3CDTF">2021-11-08T15:46:00Z</dcterms:modified>
</cp:coreProperties>
</file>